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55F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</w:p>
    <w:p w14:paraId="6C8D047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9F42A2" w14:paraId="3C865F0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F07A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25.09.2025</w:t>
            </w:r>
          </w:p>
        </w:tc>
      </w:tr>
      <w:tr w:rsidR="009F42A2" w14:paraId="33E57B46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9169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9F42A2" w14:paraId="57562F4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B6F8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9F42A2" w14:paraId="63E1BC6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1D2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14:paraId="660657E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9F42A2" w14:paraId="543D17A3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7C6A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особами,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</w:tbl>
    <w:p w14:paraId="46C0A4A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9F42A2" w14:paraId="456A8105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7A603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особа, Начальник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CA9A0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844CF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89B00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3369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Корнєва М.В.</w:t>
            </w:r>
          </w:p>
        </w:tc>
      </w:tr>
      <w:tr w:rsidR="009F42A2" w14:paraId="69A60044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1E46ED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37DEA2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08CBA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підпису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/особи, яка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CE37C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F3F477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особи)</w:t>
            </w:r>
          </w:p>
        </w:tc>
      </w:tr>
    </w:tbl>
    <w:p w14:paraId="20650EB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FF340E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</w:p>
    <w:p w14:paraId="120E9CE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"БАНК 3/4" (36002395)</w:t>
      </w:r>
    </w:p>
    <w:p w14:paraId="55A593A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1 квартал 2023 року</w:t>
      </w:r>
    </w:p>
    <w:p w14:paraId="4C1EF3D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A7D6E7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1903087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DR/00001/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APA</w:t>
      </w:r>
      <w:proofErr w:type="spellEnd"/>
    </w:p>
    <w:p w14:paraId="2468C38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14:paraId="6220F28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04BD2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9F42A2" w14:paraId="35BB44DC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DA07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Проміжну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452C43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3E043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https://bank34.ua/pro-bank/informaciya-emitenta/regulyarna-informaciya/bank-3-4-promizhna-informaciya-emitenta-za-1-kvartal-2023.html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433849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72AF4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25.09.2025</w:t>
            </w:r>
          </w:p>
        </w:tc>
      </w:tr>
      <w:tr w:rsidR="009F42A2" w14:paraId="35237E05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D6E6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19083D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F7C3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-адреса вебсайту)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2EE30F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9306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2DA6570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9F42A2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165F09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інформації</w:t>
      </w:r>
      <w:proofErr w:type="spellEnd"/>
    </w:p>
    <w:p w14:paraId="1ECB1E5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</w:t>
      </w:r>
    </w:p>
    <w:p w14:paraId="7158529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4643F6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надавалось. </w:t>
      </w:r>
    </w:p>
    <w:p w14:paraId="74E1D54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C08DE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10302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15321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є стороною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справах,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</w:t>
      </w:r>
    </w:p>
    <w:p w14:paraId="442EC2F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FA632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0BBD9A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9A359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40590E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493F116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A94C1A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D68D7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CFD1D7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6029E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053494A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37AFB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юиридчних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сообоах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</w:t>
      </w:r>
    </w:p>
    <w:p w14:paraId="6C5E0D7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38BC8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</w:t>
      </w:r>
    </w:p>
    <w:p w14:paraId="6EA600A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72FC1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Уточнення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наводяться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</w:p>
    <w:p w14:paraId="633F372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33EA2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1AA8DD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11643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13ED21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0ED86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1.5.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E91DB8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9F0B7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C8844D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C5360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02B5BF0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16E09E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1.8.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7F53D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BF426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1.9.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464571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6D109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B22AD3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5C564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прав передано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668AD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E9BBB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III</w:t>
      </w:r>
    </w:p>
    <w:p w14:paraId="0ED3324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3B81C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2.Звiт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непроведенням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20EDFEB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527DE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8B4568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67D2C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</w:p>
    <w:p w14:paraId="0F0D16E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35294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4.3.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67DAF4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BA4E3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</w:p>
    <w:p w14:paraId="6C57BE3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29383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(стандартами)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</w:t>
      </w:r>
    </w:p>
    <w:p w14:paraId="315DA58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A37A3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URL-посилання</w:t>
      </w:r>
      <w:proofErr w:type="spellEnd"/>
    </w:p>
    <w:p w14:paraId="4A9471D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15C67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6B74FB" w14:textId="21A2FC6A" w:rsidR="00412045" w:rsidRDefault="00412045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04BA364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73B266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  <w:proofErr w:type="spellEnd"/>
    </w:p>
    <w:p w14:paraId="218FDE9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звіту</w:t>
      </w:r>
      <w:proofErr w:type="spellEnd"/>
    </w:p>
    <w:p w14:paraId="275AA06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5AC8FBB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6B6E7DD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структура</w:t>
      </w:r>
    </w:p>
    <w:p w14:paraId="08DD93F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власності</w:t>
      </w:r>
      <w:proofErr w:type="spellEnd"/>
    </w:p>
    <w:p w14:paraId="3781564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</w:p>
    <w:p w14:paraId="77D881F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підрозділи</w:t>
      </w:r>
      <w:proofErr w:type="spellEnd"/>
    </w:p>
    <w:p w14:paraId="47FED13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</w:p>
    <w:p w14:paraId="15AC5DB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</w:p>
    <w:p w14:paraId="10949E5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308BF79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</w:p>
    <w:p w14:paraId="04A5BF8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</w:p>
    <w:p w14:paraId="65B1AB4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6C04D20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керівництва</w:t>
      </w:r>
      <w:proofErr w:type="spellEnd"/>
    </w:p>
    <w:p w14:paraId="0FFB485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6120E3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9F42A2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DB71B3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249B9CF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9F42A2" w14:paraId="2C8917F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978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D96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C4FA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</w:t>
            </w:r>
          </w:p>
        </w:tc>
      </w:tr>
      <w:tr w:rsidR="009F42A2" w14:paraId="173D6E3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CF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A6A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4593A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"БАНК 3/4"</w:t>
            </w:r>
          </w:p>
        </w:tc>
      </w:tr>
      <w:tr w:rsidR="009F42A2" w14:paraId="742A43B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A0EF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210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EBA5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36002395</w:t>
            </w:r>
          </w:p>
        </w:tc>
      </w:tr>
      <w:tr w:rsidR="009F42A2" w14:paraId="12EF134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B3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E42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9003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15.07.2008</w:t>
            </w:r>
          </w:p>
        </w:tc>
      </w:tr>
      <w:tr w:rsidR="009F42A2" w14:paraId="7E3B3AC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D3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E66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01057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04080,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25</w:t>
            </w:r>
          </w:p>
        </w:tc>
      </w:tr>
      <w:tr w:rsidR="009F42A2" w14:paraId="5C63F55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1BF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87F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0CB40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F42A2" w14:paraId="2386AA8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FC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E385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432E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</w:t>
            </w:r>
            <w:proofErr w:type="spellEnd"/>
          </w:p>
          <w:p w14:paraId="43515D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9F42A2" w14:paraId="37CB7BE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DF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B9E8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BCED6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78ED045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</w:tr>
      <w:tr w:rsidR="009F42A2" w14:paraId="595B1F3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D3D1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4B9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4A78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6301E9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Середнє</w:t>
            </w:r>
            <w:proofErr w:type="spellEnd"/>
          </w:p>
          <w:p w14:paraId="5B73B50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00F530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Мікро</w:t>
            </w:r>
            <w:proofErr w:type="spellEnd"/>
          </w:p>
        </w:tc>
      </w:tr>
      <w:tr w:rsidR="009F42A2" w14:paraId="5DAD3B8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846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5FA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офіційного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каналу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743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m.korneva@bank34.ua</w:t>
            </w:r>
          </w:p>
        </w:tc>
      </w:tr>
      <w:tr w:rsidR="009F42A2" w14:paraId="45DE2A9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0CAF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05F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C192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www.bank34.ua</w:t>
            </w:r>
          </w:p>
        </w:tc>
      </w:tr>
      <w:tr w:rsidR="009F42A2" w14:paraId="5FB9668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9D8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C002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CE0C4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0443649800</w:t>
            </w:r>
          </w:p>
        </w:tc>
      </w:tr>
      <w:tr w:rsidR="009F42A2" w14:paraId="7DD2F32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B42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AF0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D45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403200000</w:t>
            </w:r>
          </w:p>
        </w:tc>
      </w:tr>
      <w:tr w:rsidR="009F42A2" w14:paraId="68095D9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F7B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FBF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державі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03B8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9F42A2" w14:paraId="5AB0FEB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8F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D97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передано до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державного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холдингової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3362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9F42A2" w14:paraId="1BD6A2F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5AB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0D1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5B6FA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132</w:t>
            </w:r>
          </w:p>
        </w:tc>
      </w:tr>
      <w:tr w:rsidR="009F42A2" w14:paraId="6007D30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ED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10D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C760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64.19 -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грошового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посередництва</w:t>
            </w:r>
            <w:proofErr w:type="spellEnd"/>
          </w:p>
        </w:tc>
      </w:tr>
      <w:tr w:rsidR="009F42A2" w14:paraId="2F12245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F5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C5F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E84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160A492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Дворівнева</w:t>
            </w:r>
            <w:proofErr w:type="spellEnd"/>
          </w:p>
          <w:p w14:paraId="23A5EA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Інше</w:t>
            </w:r>
            <w:proofErr w:type="spellEnd"/>
          </w:p>
        </w:tc>
      </w:tr>
    </w:tbl>
    <w:p w14:paraId="6607CE2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7BA34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Банки,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обслуговують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9F42A2" w14:paraId="59CFB4C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2B13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5FC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AF89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</w:p>
        </w:tc>
      </w:tr>
      <w:tr w:rsidR="009F42A2" w14:paraId="1273A72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848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D12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9FB1C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00032106</w:t>
            </w:r>
          </w:p>
        </w:tc>
      </w:tr>
      <w:tr w:rsidR="009F42A2" w14:paraId="6C29E3A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AC8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BE2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AEB8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UA543000010000032007119901026</w:t>
            </w:r>
          </w:p>
        </w:tc>
      </w:tr>
      <w:tr w:rsidR="009F42A2" w14:paraId="37AFC8C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0FB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23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BD88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9F42A2" w14:paraId="39F12CD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6A9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C73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BCCE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УКРГАЗБАНК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9F42A2" w14:paraId="2806BCF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E2E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D8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9BCA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9F42A2" w14:paraId="24D346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297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91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5E2C3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UA953204780000000001600915222</w:t>
            </w:r>
          </w:p>
        </w:tc>
      </w:tr>
      <w:tr w:rsidR="009F42A2" w14:paraId="2AF8D93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79A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5AF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16279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долари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США</w:t>
            </w:r>
          </w:p>
        </w:tc>
      </w:tr>
    </w:tbl>
    <w:p w14:paraId="27B1F04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5B400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736"/>
        <w:gridCol w:w="2214"/>
        <w:gridCol w:w="2500"/>
        <w:gridCol w:w="2500"/>
      </w:tblGrid>
      <w:tr w:rsidR="009F42A2" w14:paraId="155BB9AB" w14:textId="77777777" w:rsidTr="00412045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38EB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7551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вебсайт агентства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B71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рейтингового агентства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міжнародне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BAE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0509F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кредитного рейтингу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</w:tr>
      <w:tr w:rsidR="009F42A2" w14:paraId="30F27F03" w14:textId="77777777" w:rsidTr="00412045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8B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3E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43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42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91C2F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9F42A2" w14:paraId="364F7415" w14:textId="77777777" w:rsidTr="00412045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6FC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F6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IВIРейтинг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14:paraId="290B50F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</w:p>
          <w:p w14:paraId="322DBA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https://ibi.com.ua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C34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D68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27.02.2023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2D62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(прогноз -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негативний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")</w:t>
            </w:r>
          </w:p>
        </w:tc>
      </w:tr>
    </w:tbl>
    <w:p w14:paraId="21252D8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4FB2F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структура</w:t>
      </w:r>
    </w:p>
    <w:p w14:paraId="4E906B7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9F42A2" w14:paraId="4622A1F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A8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47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F09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993A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Персональний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</w:tr>
      <w:tr w:rsidR="009F42A2" w14:paraId="6E1D146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9BC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EDF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55E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D6C3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9F42A2" w14:paraId="4F22159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9E5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774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E3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A60D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</w:tr>
      <w:tr w:rsidR="009F42A2" w14:paraId="7B4C3FE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E51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F1B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8FB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голова, 2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FFF71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Володимирович,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286DD54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Георгiйович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5975124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Михайлович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9F42A2" w14:paraId="68CFC75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887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2D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7EA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  <w:p w14:paraId="352705B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3512F08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1797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CEO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</w:p>
          <w:p w14:paraId="2DF0772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Попов Олександр Євгенович,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1FF222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Артем Валентинович,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(CRO), </w:t>
            </w:r>
          </w:p>
          <w:p w14:paraId="36F4CFAC" w14:textId="60845523" w:rsidR="009F42A2" w:rsidRPr="00412045" w:rsidRDefault="003F07B1" w:rsidP="0041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</w:p>
        </w:tc>
      </w:tr>
    </w:tbl>
    <w:p w14:paraId="061EFD8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DF0918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9F42A2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10C13C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</w:p>
    <w:p w14:paraId="075F9F6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9F42A2" w14:paraId="7933989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3BB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02A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0C9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F3D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6A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702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D3B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E0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2A5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46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F55E6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9F42A2" w14:paraId="5873BC4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C15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D5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31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CF5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D90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DF53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8C6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5A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512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107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32946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9F42A2" w14:paraId="26A211D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1A7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8BE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62B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41C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0D1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F6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C0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прикладна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математика"; "менеджер-консультант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оподаткування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46D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1D2E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4D44496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4FC190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Спостережної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E9BC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17.08.2015</w:t>
            </w:r>
          </w:p>
          <w:p w14:paraId="2A0B6E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4717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42A2" w14:paraId="2479D15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1C2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1D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B01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D5CF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696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E0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E60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3E1A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A8B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активами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ВНПФ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фонд"</w:t>
            </w:r>
          </w:p>
          <w:p w14:paraId="12EC5C6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34690716, 35532454</w:t>
            </w:r>
          </w:p>
          <w:p w14:paraId="10A1D9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директора, член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 фонду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58B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18.10.2019</w:t>
            </w:r>
          </w:p>
          <w:p w14:paraId="239BB9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1670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42A2" w14:paraId="723D995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B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0E5A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F7F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6C1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9D9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D2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392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F87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894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231659E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2B83E4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член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B7A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13.10.2015</w:t>
            </w:r>
          </w:p>
          <w:p w14:paraId="315102F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EBDB0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402F9E1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9F42A2" w14:paraId="6B66551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380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D2D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20D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550B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70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2BF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76C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429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3E78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15F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64CA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9F42A2" w14:paraId="62466EC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36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522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9CA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7CC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88F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436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677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F7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919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73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3A01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9F42A2" w14:paraId="3CD1A05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2D6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4D8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81E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DA6D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816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40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1C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13D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C61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1F13B17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518C93F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AA1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22.06.2010</w:t>
            </w:r>
          </w:p>
          <w:p w14:paraId="48CD316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C42F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42A2" w14:paraId="7D6F2E7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4D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D61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145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006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4F5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6D56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1E8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Виробництво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апаратiв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";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EAEE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EB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АКБ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ХАМКОРБАНК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("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HAMKORBANK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Узбекистан)</w:t>
            </w:r>
          </w:p>
          <w:p w14:paraId="2DBF19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14:paraId="173B5D0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договором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D4B4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02.02.2018</w:t>
            </w:r>
          </w:p>
          <w:p w14:paraId="0AEEE7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6614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42A2" w14:paraId="1C9F310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A2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2B0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CA3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7B9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821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24C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25F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1A4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BA2F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будiвельно-iнвестицiйний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Дiамантбанк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7E84F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26547581, 23362711</w:t>
            </w:r>
          </w:p>
          <w:p w14:paraId="364B26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-менеджменту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FA5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15.04.2020</w:t>
            </w:r>
          </w:p>
          <w:p w14:paraId="18307D7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4A68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9F42A2" w14:paraId="6CB5153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9CF5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DE2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6C7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AD0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A83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4862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F6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Правознавство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4350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5A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7434D5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6BFA994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Упралвiння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470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23.11.2016</w:t>
            </w:r>
          </w:p>
          <w:p w14:paraId="0F2A0E4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732DE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79FCBDF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9F42A2" w14:paraId="13F04B9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BF4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38C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9A4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DAD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D29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765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1FB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216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F3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31E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B071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9F42A2" w14:paraId="76A1682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A27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9B6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8898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CD3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BAA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91C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1AB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1F0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783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D4F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5276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9F42A2" w14:paraId="6F5196B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9A6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00C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4FB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25A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8A3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91E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F40E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C78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2A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60A20F5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4434859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супроводження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операцiй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59D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01.02.2018</w:t>
            </w:r>
          </w:p>
          <w:p w14:paraId="5EE1280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C8903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2810241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E44EA4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володіння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особами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акціями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9F42A2" w14:paraId="4669B87F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BB6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EE3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0D6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C6D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1C4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6DC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EB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01C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</w:p>
        </w:tc>
      </w:tr>
      <w:tr w:rsidR="009F42A2" w14:paraId="3CBE7209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C63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086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905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3E8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DB0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2331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14B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FFA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55B2F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</w:tr>
      <w:tr w:rsidR="009F42A2" w14:paraId="0DB159E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9C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AD7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827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7C0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0B9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F9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36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96F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C6763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9F42A2" w14:paraId="5140EE3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78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5D2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22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C64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E01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A85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78A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8C3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C4E2E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60373CF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8B7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940E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B9C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D59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D4D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530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6D3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8EC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370E9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2E6B3DF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BFEC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8AC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2C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56D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B34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5D1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76E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48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47C8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40F0E50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5C3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11A4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838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2C3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D13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EA1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B23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4195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CCFE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4202605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0188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206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DB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382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F1E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2A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918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863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B3B3B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55ABD3F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339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3DC7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E61C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FC3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8E0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2CB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B3CF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D88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6669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4438E24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F0A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F9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078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D85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CAB2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6C7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9F0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F6C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850C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9F42A2" w14:paraId="5C4BAEC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4E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387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D2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8EFB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A6D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F61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EF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147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75C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5E7C857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A1843F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9F42A2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3FF588D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3. Структура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власності</w:t>
      </w:r>
      <w:proofErr w:type="spellEnd"/>
    </w:p>
    <w:p w14:paraId="498EAB7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https://bank34.ua/upload//Bank%2034%202023%200101%20shema.pdf</w:t>
      </w:r>
    </w:p>
    <w:p w14:paraId="0153EF0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04FB3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діяльності</w:t>
      </w:r>
      <w:proofErr w:type="spellEnd"/>
    </w:p>
    <w:p w14:paraId="36263E8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вебсайт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0047F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14:paraId="1888D81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D5F08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7594FD0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19,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311. </w:t>
      </w:r>
    </w:p>
    <w:p w14:paraId="76F1F82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Веб-сайт: https://www.pard.ua/ </w:t>
      </w:r>
    </w:p>
    <w:p w14:paraId="707BA69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провадять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додержання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посередництва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захищає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органах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бере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законопроектiв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семiнари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F5904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ACB53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2013 р.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саморегулiвної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(СРО). Членство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СРО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B07BC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DE6BD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1BDCEFD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EA4DA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04053,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Обсерваторна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21-а.</w:t>
      </w:r>
    </w:p>
    <w:p w14:paraId="08B094E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4DD22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https://www.ukrswift.org/</w:t>
      </w:r>
    </w:p>
    <w:p w14:paraId="39836F9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5CDCD6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координацiї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2010 р.</w:t>
      </w:r>
    </w:p>
    <w:p w14:paraId="3F909D3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7743D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централiзоване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асоцiйованих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14:paraId="1472E25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618C1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47B3C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C7E0C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3083C0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F4397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15. </w:t>
      </w:r>
    </w:p>
    <w:p w14:paraId="5D4DE21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FE7BEB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https://aub.org.ua/</w:t>
      </w:r>
    </w:p>
    <w:p w14:paraId="488B251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1B350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незалежною,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непiдприємницькою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мiжрегiональних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пiдприємницької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проекти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вереснi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2021 р.</w:t>
      </w:r>
    </w:p>
    <w:p w14:paraId="37CD4A0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29198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A68915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5849862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ACDA5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47ED4FE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наведено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49C2714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865F7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09A94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наведено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16B4F3E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дослiждення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B8EB2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E2262D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проводилось </w:t>
      </w:r>
    </w:p>
    <w:p w14:paraId="58363E2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FC120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особи:</w:t>
      </w:r>
    </w:p>
    <w:p w14:paraId="7652AE4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5CF491B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85FA4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унiверсальною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на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а)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дилерську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07DE905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5435B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сейфiв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9CAA3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3A841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EAC14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06510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унiверсальною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на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а)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дилерську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1B5E8FB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BD59F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сейфiв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305E4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9E6B1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7F374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77BA0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6127F98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9C943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72EF22E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1BBE3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25DB91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91C6F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до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релевантним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фiксованими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становлять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кредитом).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тарифи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</w:p>
    <w:p w14:paraId="238C0E3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0A04E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E6B299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26B87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1 квартал 2023 року - 141944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7F21F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47DDA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включено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доходи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224A58A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36CED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6A8CF7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2CC4A6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5181172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612C8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сезонних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AF5DAD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D9FD0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сезонних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09CC6D2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843DD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2644742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291EB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</w:p>
    <w:p w14:paraId="638B35F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A1C0A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E69DAC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FA0E9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D0E364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444A6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7E8509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68FA7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</w:p>
    <w:p w14:paraId="045E5F6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7E018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постачальники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40C6F9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225A8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для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РЕПО,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CF9043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231A3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комунiкацiйної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B20D1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AD2C7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 </w:t>
      </w:r>
    </w:p>
    <w:p w14:paraId="708F5D2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F529B6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зупинили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спрямувавши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максимум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464DF9D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778FD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DD51A6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635E60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високотехнологiчною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6286B1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A1C9A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(АБС),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комплексами.</w:t>
      </w:r>
    </w:p>
    <w:p w14:paraId="14C27D5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4E37F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таких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HP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DELL, CISCO,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апаратної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платформи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C5A04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A36BD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хмарнi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2F6CBD9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B33E2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вiддаленого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650DC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CE656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38161A9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06961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EB84FD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DBA50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856C0C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2D835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державною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75%);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пакетiв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установи); 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один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50%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141417D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E3634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III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мiцна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64824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E664F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особи;</w:t>
      </w:r>
    </w:p>
    <w:p w14:paraId="66BD022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0917A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3DDD21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D2780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 АТ "МОТОР-БАНК", АТ "СКАЙ БАНК", 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МетаБанк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АТ "БАНК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АСВIО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БАНК", АТ "ПЕРШИЙ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БАНК", АТ "РВС БАНК", АТ "БАНК "ГРАНТ".</w:t>
      </w:r>
    </w:p>
    <w:p w14:paraId="7853880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97169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3A4A7DC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6C88D8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6EADB3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E7F4D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заходи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FA9AB1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162F6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Основною метою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профiлю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загрожує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противаг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</w:p>
    <w:p w14:paraId="1D267C2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74F0D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масштабу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6948C67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F3ADC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A5FB67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E7CC0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B8ABF0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CF0F8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боржником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/контрагентом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узятих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себе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винятком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книзi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4693EA1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89316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неузгоджених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негативних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1381DB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D9009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чутливими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FF9B95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490A5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F1D7D9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691F7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iнформацiйно-комунiкацiйних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0E8146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64ACC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>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добросовiсної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конфлiкту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внутрiшньогрупових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0B445E6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E74E2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ВК/ФТ)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притягнення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</w:p>
    <w:p w14:paraId="3CAEA7E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36C326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граничного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ними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оптимальне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лiмiтiв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38D7031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9F845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заборона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нульового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призвести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корупцiйних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A4F3C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28913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експоненцiальної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F573A0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5AED7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одночасної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принципу 1</w:t>
      </w:r>
    </w:p>
    <w:p w14:paraId="0B55124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A9EC2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66D66CC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175CB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АТ "БАНК 3/4"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Банк,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Кодексi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A4BC2B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79230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клiєнтоорiєнтованої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державного боргу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Банку.</w:t>
      </w:r>
    </w:p>
    <w:p w14:paraId="6D424AE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40DEC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високолiквiднi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валютного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i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невеликi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допомагають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швидко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AE73C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9B33D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казначейських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ринку приватного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малого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паралельно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</w:t>
      </w:r>
    </w:p>
    <w:p w14:paraId="1A21781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1088C7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011B4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80442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C3E32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ED946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A63E3D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28FC4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062568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9F52B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суму  20 157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а також 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нового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на суму  54 102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побудова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етапiв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2020-2023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мережеве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спецiалiзоване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iнсталяцiї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первинного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налаштування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2021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34004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FAA10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У 2019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2 996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00FE4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270CF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28EAD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C54FA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позначитися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потужностей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завершення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B8CCF6B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FE265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зумовлює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Земельна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передавальнi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пристрої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невiд'ємною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основному,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811DC1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34CA7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справедливiй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20 000,00грн.)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ремонт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область,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449653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BDE61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метою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банкомат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серверної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площадки. </w:t>
      </w:r>
    </w:p>
    <w:p w14:paraId="0630259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1FF99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 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довкiлля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конкурентоздатностi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протистояння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кiберзлочинностi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IТ-безпеки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Рада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5B6CB8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A9EFC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2616ED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E58F4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соцiальна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гуманiтарна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криза, криза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правовому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зарегульованих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iмплементацiї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24.02.2022 р. -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виокремимо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постанови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"Про роботу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18,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22,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25.02.2022 р. № 23,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07.03.2022 р. №41.</w:t>
      </w:r>
    </w:p>
    <w:p w14:paraId="77B7B0C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0696F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60DB651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C2F76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99290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C7640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3B56529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AC2F9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31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березня  2023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дня)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настав.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оплатою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iнсталяцiї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налаштування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становить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2 216,9 тис. грн.).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DAABCE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1DA5E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  як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змогу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5E73AE9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FED9B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F2EDB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95593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(дня,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</w:p>
    <w:p w14:paraId="078CA2D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5008B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132,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-5,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- 6.</w:t>
      </w:r>
    </w:p>
    <w:p w14:paraId="4E6B42ED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F34DE6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за 1 квартал 2023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-72738,1тис.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плати),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одноразового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премiювання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навантаження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стимулювати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актуальним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дефiцит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кадрiв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800353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055AF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7F781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2FEE3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14)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9D198B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DD09F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D4F065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17497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7E69BD2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8A957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494489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B1FE0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6B5AB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82ED5B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ліцензій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9F42A2" w14:paraId="1D391D1E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604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46D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E2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87E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DD4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4481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закінчення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строку </w:t>
            </w:r>
            <w:proofErr w:type="spellStart"/>
            <w:r>
              <w:rPr>
                <w:rFonts w:ascii="Times New Roman CYR" w:hAnsi="Times New Roman CYR" w:cs="Times New Roman CYR"/>
              </w:rPr>
              <w:t>дії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9F42A2" w14:paraId="1E733BB3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CE5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62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31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27C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3C06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BA0C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9F42A2" w14:paraId="68498C3A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11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B6A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E6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BC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57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7C41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13CC1E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74E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522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B8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C1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63E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50363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FE2A640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D62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F1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дилерську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495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AF8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945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A2429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9264A6B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D2F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64C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а) </w:t>
            </w:r>
            <w:proofErr w:type="spellStart"/>
            <w:r>
              <w:rPr>
                <w:rFonts w:ascii="Times New Roman CYR" w:hAnsi="Times New Roman CYR" w:cs="Times New Roman CYR"/>
              </w:rPr>
              <w:t>субброкерську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</w:t>
            </w:r>
            <w:proofErr w:type="gramStart"/>
            <w:r>
              <w:rPr>
                <w:rFonts w:ascii="Times New Roman CYR" w:hAnsi="Times New Roman CYR" w:cs="Times New Roman CYR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</w:rPr>
              <w:t>;  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2DF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F4C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824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F038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4D01F41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FCFA2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залишковою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вартістю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9F42A2" w14:paraId="7F01C28A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A88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засобів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AD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Власні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22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Орендовані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EBDB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</w:tr>
      <w:tr w:rsidR="009F42A2" w14:paraId="713C66AF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21E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081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03A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B93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99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1B4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7D7D4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</w:tr>
      <w:tr w:rsidR="009F42A2" w14:paraId="1AE054F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298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234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41 661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972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40 066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F27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68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CD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41 710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11BF2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40 109</w:t>
            </w:r>
          </w:p>
        </w:tc>
      </w:tr>
      <w:tr w:rsidR="009F42A2" w14:paraId="4308308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E59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A5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9617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22 394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B3E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D613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F70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23 017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BEEFF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22 437</w:t>
            </w:r>
          </w:p>
        </w:tc>
      </w:tr>
      <w:tr w:rsidR="009F42A2" w14:paraId="5814EBC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1F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125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53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724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FD1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1E8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7E51C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5 748</w:t>
            </w:r>
          </w:p>
        </w:tc>
      </w:tr>
      <w:tr w:rsidR="009F42A2" w14:paraId="26C48C8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337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1D3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F33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5BB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DB7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90E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7782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  <w:tr w:rsidR="009F42A2" w14:paraId="42D0E41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06C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F3C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55E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C69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B87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76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8D2BA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</w:tr>
      <w:tr w:rsidR="009F42A2" w14:paraId="3DF70FD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025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C8A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7857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00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03B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8C9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A8CC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646</w:t>
            </w:r>
          </w:p>
        </w:tc>
      </w:tr>
      <w:tr w:rsidR="009F42A2" w14:paraId="2153337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659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Невиробничого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D9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70C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8F8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3D4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BE9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4836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1 397</w:t>
            </w:r>
          </w:p>
        </w:tc>
      </w:tr>
      <w:tr w:rsidR="009F42A2" w14:paraId="55957E8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EC5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A17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46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126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DE4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0FB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38580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42A2" w14:paraId="5FB5636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AC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77A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702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49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886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68A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B2A01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42A2" w14:paraId="1870AE9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8F9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68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3A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176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9C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F7E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AE85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42A2" w14:paraId="64EB297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5E3C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B00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67A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E48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43D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774A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B403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42A2" w14:paraId="715F478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C30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нерухомість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1971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727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9F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EBC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E200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2EBE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</w:tr>
      <w:tr w:rsidR="009F42A2" w14:paraId="37BDEC0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50D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6F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D26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E68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66B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77B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6C888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</w:tr>
      <w:tr w:rsidR="009F42A2" w14:paraId="779E211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555C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E5A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A41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41 463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FCE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581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EF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43 109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0558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41 506</w:t>
            </w:r>
          </w:p>
        </w:tc>
      </w:tr>
      <w:tr w:rsidR="009F42A2" w14:paraId="140604C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51A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A91C15" w14:textId="0A75DA04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"БАНК 3/4" є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зумовлює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  <w:p w14:paraId="09A6F7B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57925A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основному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>, 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виключенням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3A573A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D5258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4B26BFC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8979A9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5B13862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70D54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мережа - 10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7572EBF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4D324A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33287F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496F26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2DDD89C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6FB212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офiсне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0B34E10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6A921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12-ти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216CB8E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579CFC3" w14:textId="446B9D4B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договору. </w:t>
            </w:r>
          </w:p>
          <w:p w14:paraId="4D24363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141D08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переоцiнена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31 березня 2023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101 773 тис. грн.</w:t>
            </w:r>
          </w:p>
          <w:p w14:paraId="54E9830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D53FE3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 у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високий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сучаснi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A4CF13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4CE34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Норми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дають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працездатному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65C3DFB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6695F8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</w:t>
            </w:r>
            <w:proofErr w:type="spellStart"/>
            <w:r>
              <w:rPr>
                <w:rFonts w:ascii="Times New Roman CYR" w:hAnsi="Times New Roman CYR" w:cs="Times New Roman CYR"/>
              </w:rPr>
              <w:t>нарахованого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31 березня 2023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60 267 тис. грн.  </w:t>
            </w:r>
          </w:p>
          <w:p w14:paraId="338333F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B6D1D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40 687 тис. грн. </w:t>
            </w:r>
          </w:p>
          <w:p w14:paraId="340D419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B99596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Станом на 31 березня 2023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дня):</w:t>
            </w:r>
          </w:p>
          <w:p w14:paraId="4506A1D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A7AEF8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942BEC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09E3B8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 заставу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715F66D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3F91F0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консервацiя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реконструкцiя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);</w:t>
            </w:r>
          </w:p>
          <w:p w14:paraId="3728DA3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548352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вилученi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для продажу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2E2B72A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3DA62E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банк  </w:t>
            </w:r>
            <w:proofErr w:type="spellStart"/>
            <w:r>
              <w:rPr>
                <w:rFonts w:ascii="Times New Roman CYR" w:hAnsi="Times New Roman CYR" w:cs="Times New Roman CYR"/>
              </w:rPr>
              <w:t>обл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ковує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як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нежитловi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(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60,9 кв.м.) за </w:t>
            </w:r>
            <w:proofErr w:type="spellStart"/>
            <w:r>
              <w:rPr>
                <w:rFonts w:ascii="Times New Roman CYR" w:hAnsi="Times New Roman CYR" w:cs="Times New Roman CYR"/>
              </w:rPr>
              <w:t>адресою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>, проспект Повiтрофлотський,51.</w:t>
            </w:r>
          </w:p>
          <w:p w14:paraId="7C1244B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B9A92FF" w14:textId="6F7E0EB3" w:rsidR="009F42A2" w:rsidRPr="00412045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серверного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lastRenderedPageBreak/>
              <w:t>орендує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прим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м. </w:t>
            </w:r>
            <w:proofErr w:type="spellStart"/>
            <w:r>
              <w:rPr>
                <w:rFonts w:ascii="Times New Roman CYR" w:hAnsi="Times New Roman CYR" w:cs="Times New Roman CYR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</w:rPr>
              <w:t>Львовi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45F0F17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76D745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9F42A2" w14:paraId="0D6609C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352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зобов’язань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09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8451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11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коштами (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річних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DA1BB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</w:p>
        </w:tc>
      </w:tr>
      <w:tr w:rsidR="009F42A2" w14:paraId="4D3C257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106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211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176F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E25D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BDAA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5BB2D66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350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E000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78DC75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A4B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4AB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0B8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D52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1E93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31009E9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29F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Зобов’язання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724D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5D1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27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79716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2DA2CEB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D6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72292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9F42A2" w14:paraId="0888E9F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0DF6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облігаціями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509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A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245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F574A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11B6624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2EA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A3A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FA5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7A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8147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8BA4A3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8B4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іпотечними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85C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F7D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75F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70D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6AE227E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15C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EEB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060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E83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1060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6150284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49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сертифікатами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D7D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40AF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3DF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25C70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2520D50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634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07DD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9E6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853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EB13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0D26B8C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762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5FB9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10EB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6EC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09CDB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666624F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AFF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4C4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FB3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22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56577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154EFE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FF4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деривативами)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91D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154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869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C5A4E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16A2611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B95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874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FF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C3A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759A0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4EB5241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C7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Податкові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49E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42C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2 327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F12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F8969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3373E55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A53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BED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7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3C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1541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024421C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7B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Фінансова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допомога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зворотній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основі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934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B5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B1F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417C2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48A35A2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D20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6DF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952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1 128 192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EBC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3A38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9F42A2" w14:paraId="7A7CA04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B5E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1EF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28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A8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A59CC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0ECEFA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057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2E5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176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1 130 519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82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48839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6CB3A61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2F8F12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користується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7C163E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D1E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CBD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42A2" w14:paraId="65433A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DF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0A41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6C476B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CE6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DE06D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BFA16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2B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A012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9F42A2" w14:paraId="770556F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8BC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6E141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34619277</w:t>
            </w:r>
          </w:p>
        </w:tc>
      </w:tr>
      <w:tr w:rsidR="009F42A2" w14:paraId="5D216DB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82A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D1B53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01054,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Б. </w:t>
            </w:r>
            <w:proofErr w:type="spellStart"/>
            <w:r>
              <w:rPr>
                <w:rFonts w:ascii="Times New Roman CYR" w:hAnsi="Times New Roman CYR" w:cs="Times New Roman CYR"/>
              </w:rPr>
              <w:t>Хмельницького</w:t>
            </w:r>
            <w:proofErr w:type="spellEnd"/>
            <w:r>
              <w:rPr>
                <w:rFonts w:ascii="Times New Roman CYR" w:hAnsi="Times New Roman CYR" w:cs="Times New Roman CYR"/>
              </w:rPr>
              <w:t>, буд.52, 4 пов</w:t>
            </w:r>
          </w:p>
        </w:tc>
      </w:tr>
      <w:tr w:rsidR="009F42A2" w14:paraId="3D54D5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1AC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1BBE0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3886</w:t>
            </w:r>
          </w:p>
        </w:tc>
      </w:tr>
      <w:tr w:rsidR="009F42A2" w14:paraId="369138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9D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46E1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Аудиторська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палата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9F42A2" w14:paraId="388E39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617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1DD2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2A19DCF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E0C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288F9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(044)500-25-31</w:t>
            </w:r>
          </w:p>
        </w:tc>
      </w:tr>
      <w:tr w:rsidR="009F42A2" w14:paraId="3DA356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B7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0A574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оподаткування</w:t>
            </w:r>
            <w:proofErr w:type="spellEnd"/>
          </w:p>
          <w:p w14:paraId="69C2AD2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78.30 -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ресурсами</w:t>
            </w:r>
          </w:p>
          <w:p w14:paraId="6C7AC9F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9F42A2" w14:paraId="4EA05D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041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111A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 (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фiрмa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791E02D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64A13A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443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5650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42A2" w14:paraId="48FBC8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1CE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4303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FFFE0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EB4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74A7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443B44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616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1DF2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6CC0B7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28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6730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9F42A2" w14:paraId="777EDC5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BE1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F62F3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9F42A2" w14:paraId="656331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9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C91C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№547183</w:t>
            </w:r>
          </w:p>
        </w:tc>
      </w:tr>
      <w:tr w:rsidR="009F42A2" w14:paraId="72B0DC0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D3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546F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9F42A2" w14:paraId="46C08C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86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4629D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24.11.2010</w:t>
            </w:r>
          </w:p>
        </w:tc>
      </w:tr>
      <w:tr w:rsidR="009F42A2" w14:paraId="38D3E2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921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0DA7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9F42A2" w14:paraId="07C27A2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47F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BA5C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6F53396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66CDFF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9F42A2" w14:paraId="5BE3D9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BF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6EF3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4F10CA5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367BCE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C17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D420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42A2" w14:paraId="5CB581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26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D327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3913C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B00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5F97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C5A5A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D44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9C25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53620D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F7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0CF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9F42A2" w14:paraId="13ACC1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C74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AA30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9F42A2" w14:paraId="7BD145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E8D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8DA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№547199</w:t>
            </w:r>
          </w:p>
        </w:tc>
      </w:tr>
      <w:tr w:rsidR="009F42A2" w14:paraId="2A2729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4F5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3B58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9F42A2" w14:paraId="7DCD76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1A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EBB1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24.11.2010</w:t>
            </w:r>
          </w:p>
        </w:tc>
      </w:tr>
      <w:tr w:rsidR="009F42A2" w14:paraId="1E3BE7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5F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709B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9F42A2" w14:paraId="64A419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D5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9AF2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407179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5C41D5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9F42A2" w14:paraId="744836B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31C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AFC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добровiльного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наземного транспорту</w:t>
            </w:r>
          </w:p>
        </w:tc>
      </w:tr>
    </w:tbl>
    <w:p w14:paraId="1168D0F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7CD68B6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971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C67DD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42A2" w14:paraId="47BEE8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CB3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39EC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49CCB9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DB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5E5C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F4BDA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46C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7A56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29B3B4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4C4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915B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9F42A2" w14:paraId="2B92FB0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A49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D6B1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9F42A2" w14:paraId="10EA36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C8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9CD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 №569292</w:t>
            </w:r>
          </w:p>
        </w:tc>
      </w:tr>
      <w:tr w:rsidR="009F42A2" w14:paraId="2C060C9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6A1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BA8C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9F42A2" w14:paraId="3082CA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EF3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E320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21.01.2011</w:t>
            </w:r>
          </w:p>
        </w:tc>
      </w:tr>
      <w:tr w:rsidR="009F42A2" w14:paraId="128E366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CF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BB79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9F42A2" w14:paraId="354EF2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E98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0FDCC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589542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7121B5F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9F42A2" w14:paraId="10DC8A5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8A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3CB5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наземних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</w:tr>
    </w:tbl>
    <w:p w14:paraId="77B32AB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0AC4C6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11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E96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</w:rPr>
              <w:t>-РЕЙТИНГ"</w:t>
            </w:r>
          </w:p>
        </w:tc>
      </w:tr>
      <w:tr w:rsidR="009F42A2" w14:paraId="6A1404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529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C823D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237DDA8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562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0E56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998C3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C17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BCA3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9F42A2" w14:paraId="01DC1F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B9B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872E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33262696</w:t>
            </w:r>
          </w:p>
        </w:tc>
      </w:tr>
      <w:tr w:rsidR="009F42A2" w14:paraId="28E5FD0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70E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23C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03164,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Обухiвська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буд. 135,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9F42A2" w14:paraId="09B4517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2A7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1F0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9F42A2" w14:paraId="6CD6ADA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4A3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A608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42A2" w14:paraId="510E28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D4D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82B2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12.04.2010</w:t>
            </w:r>
          </w:p>
        </w:tc>
      </w:tr>
      <w:tr w:rsidR="009F42A2" w14:paraId="516D8BA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DC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499C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(044)362-90-84</w:t>
            </w:r>
          </w:p>
        </w:tc>
      </w:tr>
      <w:tr w:rsidR="009F42A2" w14:paraId="095690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ECB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016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  <w:p w14:paraId="77A9D39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кон'юнктури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громадської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думки</w:t>
            </w:r>
          </w:p>
          <w:p w14:paraId="4927723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74.90 -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наукова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технiчна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</w:t>
            </w:r>
            <w:proofErr w:type="gramStart"/>
            <w:r>
              <w:rPr>
                <w:rFonts w:ascii="Times New Roman CYR" w:hAnsi="Times New Roman CYR" w:cs="Times New Roman CYR"/>
              </w:rPr>
              <w:t>i.у</w:t>
            </w:r>
            <w:proofErr w:type="spellEnd"/>
            <w:proofErr w:type="gramEnd"/>
          </w:p>
        </w:tc>
      </w:tr>
      <w:tr w:rsidR="009F42A2" w14:paraId="331671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D3D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B91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7EFD81F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1D3537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5E7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8883C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"ПЕРСПЕКТИВА"</w:t>
            </w:r>
          </w:p>
        </w:tc>
      </w:tr>
      <w:tr w:rsidR="009F42A2" w14:paraId="0FEA34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BB2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0CD8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36CF4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88E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78DE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05C25B2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C59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940CF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2F1B302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DD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EB96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33718227</w:t>
            </w:r>
          </w:p>
        </w:tc>
      </w:tr>
      <w:tr w:rsidR="009F42A2" w14:paraId="7821CF9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426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466A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49000,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Воскресенська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30</w:t>
            </w:r>
          </w:p>
        </w:tc>
      </w:tr>
      <w:tr w:rsidR="009F42A2" w14:paraId="51EEBB9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52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7FBA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9F42A2" w14:paraId="63D2BAE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76D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BD2C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42A2" w14:paraId="0AACB8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B47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0FC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15.03.2018</w:t>
            </w:r>
          </w:p>
        </w:tc>
      </w:tr>
      <w:tr w:rsidR="009F42A2" w14:paraId="4E3B0A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5A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34F22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(044)537-62-12</w:t>
            </w:r>
          </w:p>
        </w:tc>
      </w:tr>
      <w:tr w:rsidR="009F42A2" w14:paraId="5259C86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6C6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225D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41C211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  <w:p w14:paraId="4D2653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</w:t>
            </w:r>
          </w:p>
        </w:tc>
      </w:tr>
      <w:tr w:rsidR="009F42A2" w14:paraId="5C4D36B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875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D6DF9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фондовому </w:t>
            </w:r>
            <w:proofErr w:type="gramStart"/>
            <w:r>
              <w:rPr>
                <w:rFonts w:ascii="Times New Roman CYR" w:hAnsi="Times New Roman CYR" w:cs="Times New Roman CYR"/>
              </w:rPr>
              <w:t>ринку  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</w:tbl>
    <w:p w14:paraId="1938080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6DD6AD1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EBA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644B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ПФТС"</w:t>
            </w:r>
          </w:p>
        </w:tc>
      </w:tr>
      <w:tr w:rsidR="009F42A2" w14:paraId="50320E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52C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072C1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4BDD126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B61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6C69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6986D9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DB5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8A8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5BE87F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1CC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DEF7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21672206</w:t>
            </w:r>
          </w:p>
        </w:tc>
      </w:tr>
      <w:tr w:rsidR="009F42A2" w14:paraId="77D310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41D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24621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01004,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Шовковична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42-44</w:t>
            </w:r>
          </w:p>
        </w:tc>
      </w:tr>
      <w:tr w:rsidR="009F42A2" w14:paraId="5AA9EAC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3A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E8F27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138</w:t>
            </w:r>
          </w:p>
        </w:tc>
      </w:tr>
      <w:tr w:rsidR="009F42A2" w14:paraId="6D8D91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060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0E85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42A2" w14:paraId="32AD93A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B01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CFA5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05.03.2019</w:t>
            </w:r>
          </w:p>
        </w:tc>
      </w:tr>
      <w:tr w:rsidR="009F42A2" w14:paraId="5C6D10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68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1051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(044)277-50-00</w:t>
            </w:r>
          </w:p>
        </w:tc>
      </w:tr>
      <w:tr w:rsidR="009F42A2" w14:paraId="2CB17D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F3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C6D40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10C1AA8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82.30 -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конгресiв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торговельних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виставок</w:t>
            </w:r>
            <w:proofErr w:type="spellEnd"/>
          </w:p>
          <w:p w14:paraId="70B6B7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42A2" w14:paraId="4B2D6FB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A77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5104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фондовому ринку (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</w:tbl>
    <w:p w14:paraId="2924682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38FDF9E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4B8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D1A7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42A2" w14:paraId="177D9B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4AF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6CDD9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0C91E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514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39E3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3A03EE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77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5D1F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31A56D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906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84F48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9F42A2" w14:paraId="3ABFAB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6A8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FB60D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7Г</w:t>
            </w:r>
          </w:p>
        </w:tc>
      </w:tr>
      <w:tr w:rsidR="009F42A2" w14:paraId="3DB0DA2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A3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4FDBD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21FD46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534F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49F06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24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B84E4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2A7C71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024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5B70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(044)591-04-00</w:t>
            </w:r>
          </w:p>
        </w:tc>
      </w:tr>
      <w:tr w:rsidR="009F42A2" w14:paraId="459686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08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F45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1D642C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</w:t>
            </w:r>
            <w:proofErr w:type="spellStart"/>
            <w:r>
              <w:rPr>
                <w:rFonts w:ascii="Times New Roman CYR" w:hAnsi="Times New Roman CYR" w:cs="Times New Roman CYR"/>
              </w:rPr>
              <w:t>Тиражування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03CC098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62.01 -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програмування</w:t>
            </w:r>
            <w:proofErr w:type="spellEnd"/>
          </w:p>
        </w:tc>
      </w:tr>
      <w:tr w:rsidR="009F42A2" w14:paraId="796155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981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6427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</w:p>
        </w:tc>
      </w:tr>
    </w:tbl>
    <w:p w14:paraId="2610800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7751DA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1EC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48AE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9F42A2" w14:paraId="58C0DB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9A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10DF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0961B1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14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30EF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41321A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EC0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57ED2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</w:p>
        </w:tc>
      </w:tr>
      <w:tr w:rsidR="009F42A2" w14:paraId="0B7CE8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4B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6A1E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00032106</w:t>
            </w:r>
          </w:p>
        </w:tc>
      </w:tr>
      <w:tr w:rsidR="009F42A2" w14:paraId="3F58DE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165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09DF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01601,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Iнститутська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9</w:t>
            </w:r>
          </w:p>
        </w:tc>
      </w:tr>
      <w:tr w:rsidR="009F42A2" w14:paraId="0F14E7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6E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7F0F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3D2F5C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F4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730F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080CBC0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387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26B57A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D1529A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F11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B422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(044)254-06-16</w:t>
            </w:r>
          </w:p>
        </w:tc>
      </w:tr>
      <w:tr w:rsidR="009F42A2" w14:paraId="28F5C69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FB6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C5AD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64.11 -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банку</w:t>
            </w:r>
          </w:p>
        </w:tc>
      </w:tr>
      <w:tr w:rsidR="009F42A2" w14:paraId="6FF416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880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38A0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</w:tbl>
    <w:p w14:paraId="020D1743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7D4863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19B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15A0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9F42A2" w14:paraId="5C269B7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3A6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1BD4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3C13C4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F6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F5D1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3AD8F3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C2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4A5BB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9F42A2" w14:paraId="033C22F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F87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5D1B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9F42A2" w14:paraId="7E554B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44E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0309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9F42A2" w14:paraId="19A447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18F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7F7B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№263463</w:t>
            </w:r>
          </w:p>
        </w:tc>
      </w:tr>
      <w:tr w:rsidR="009F42A2" w14:paraId="6A2BDB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277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3624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9F42A2" w14:paraId="47182CC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E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EC1C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03.10.2013</w:t>
            </w:r>
          </w:p>
        </w:tc>
      </w:tr>
      <w:tr w:rsidR="009F42A2" w14:paraId="67C984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69C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95D9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9F42A2" w14:paraId="36F076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6B9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14D7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02522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4BA2930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9F42A2" w14:paraId="44D941A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A0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411B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Розрахунково-клiрингова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5DB93E4C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7CFD58D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C92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C5A9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9F42A2" w14:paraId="14EA37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B44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E14A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5BF4F0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9A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B08F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247190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BFF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F0A7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9F42A2" w14:paraId="13435B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647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75C0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9F42A2" w14:paraId="1A47D4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41B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B06F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9F42A2" w14:paraId="59EE56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763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6DCB8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2FD0A88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07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524C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407ADC8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32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4E360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710B9B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96F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B4C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(044)498-38-15</w:t>
            </w:r>
          </w:p>
        </w:tc>
      </w:tr>
      <w:tr w:rsidR="009F42A2" w14:paraId="6DEF4B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56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00D6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CCE1BB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4A099D9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9F42A2" w14:paraId="446634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D6F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1124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</w:t>
            </w:r>
          </w:p>
        </w:tc>
      </w:tr>
    </w:tbl>
    <w:p w14:paraId="2006AF78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9F42A2" w14:paraId="12FDCF6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566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AC7B2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"ГАРАНТ-</w:t>
            </w:r>
            <w:proofErr w:type="spellStart"/>
            <w:r>
              <w:rPr>
                <w:rFonts w:ascii="Times New Roman CYR" w:hAnsi="Times New Roman CYR" w:cs="Times New Roman CYR"/>
              </w:rPr>
              <w:t>ЕКСПЕРТИЗА</w:t>
            </w:r>
            <w:proofErr w:type="spellEnd"/>
          </w:p>
        </w:tc>
      </w:tr>
      <w:tr w:rsidR="009F42A2" w14:paraId="2FA92B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7CE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97A6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5D2C4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85D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F350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F42A2" w14:paraId="17B96A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BC4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6B2E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9F42A2" w14:paraId="32B905A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1CB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202F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24744768</w:t>
            </w:r>
          </w:p>
        </w:tc>
      </w:tr>
      <w:tr w:rsidR="009F42A2" w14:paraId="3C707B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2F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5F9E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04205,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ПРОСПЕКТ </w:t>
            </w:r>
            <w:proofErr w:type="spellStart"/>
            <w:r>
              <w:rPr>
                <w:rFonts w:ascii="Times New Roman CYR" w:hAnsi="Times New Roman CYR" w:cs="Times New Roman CYR"/>
              </w:rPr>
              <w:t>ОБОЛОНСЬКИЙ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18-А, квартира 40</w:t>
            </w:r>
          </w:p>
        </w:tc>
      </w:tr>
      <w:tr w:rsidR="009F42A2" w14:paraId="7E85B8C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63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6408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173/2022</w:t>
            </w:r>
          </w:p>
        </w:tc>
      </w:tr>
      <w:tr w:rsidR="009F42A2" w14:paraId="7975BD9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A12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6722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Фонд державного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9F42A2" w14:paraId="6D6E57E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6D5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2AD65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05.05.2022</w:t>
            </w:r>
          </w:p>
        </w:tc>
      </w:tr>
      <w:tr w:rsidR="009F42A2" w14:paraId="674A30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C92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8AD3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(068)8095744</w:t>
            </w:r>
          </w:p>
        </w:tc>
      </w:tr>
      <w:tr w:rsidR="009F42A2" w14:paraId="658A02F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EC2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0D8E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63EEFBD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240A86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9F42A2" w14:paraId="39D482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6FE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E385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Оцiночна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28AF9AB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CEFF1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1C564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9F42A2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5264AF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6.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підрозділи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9F42A2" w14:paraId="5E5012C3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CA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45D8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44C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60F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558EB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</w:tr>
      <w:tr w:rsidR="009F42A2" w14:paraId="134A0CC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A35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5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4D7C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1D0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51A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9F42A2" w14:paraId="358707B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82F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D7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ЛЬВIВСЬКЕ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01D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3BF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79005,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Львівська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м.Львiв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Волошина, 8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92A9C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42A2" w14:paraId="050A29C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A11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01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0731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247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03150,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Червоноармiйська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132 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А/,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329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42A2" w14:paraId="66FF7E6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81F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F12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0CA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584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04080,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4688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42A2" w14:paraId="71161FA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355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37B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E00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E68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08130,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Києво-Святошинський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с.Чайки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Лобановського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буд. 21,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174A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9F42A2" w14:paraId="2751C83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782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31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B05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CC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49050,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пр-т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Гагарiна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9CFAE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077A68C2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E11833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паперів</w:t>
      </w:r>
      <w:proofErr w:type="spellEnd"/>
    </w:p>
    <w:p w14:paraId="00E48DCF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папери</w:t>
      </w:r>
      <w:proofErr w:type="spellEnd"/>
    </w:p>
    <w:p w14:paraId="5B20FF2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9F42A2" w14:paraId="06A89748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B43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867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4C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зареєстрував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EFB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Міжнародний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84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Тип </w:t>
            </w:r>
            <w:proofErr w:type="spellStart"/>
            <w:r>
              <w:rPr>
                <w:rFonts w:ascii="Times New Roman CYR" w:hAnsi="Times New Roman CYR" w:cs="Times New Roman CYR"/>
              </w:rPr>
              <w:t>цінного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4F2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існування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B08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4D0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47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0910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Частка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9F42A2" w14:paraId="52B7CB1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0618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212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F70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CCEE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F5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14D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A27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D28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043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BD85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9F42A2" w14:paraId="74D9EC8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F56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D47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E3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388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09E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B69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7A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272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430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6774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42A2" w14:paraId="08A274B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D0C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E600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C37BE2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18763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скаскування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2048E3D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3D1BA1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зроблено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FDBD40D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F62C13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пi</w:t>
            </w:r>
            <w:proofErr w:type="gramStart"/>
            <w:r>
              <w:rPr>
                <w:rFonts w:ascii="Times New Roman CYR" w:hAnsi="Times New Roman CYR" w:cs="Times New Roman CYR"/>
              </w:rPr>
              <w:t>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ном</w:t>
            </w:r>
            <w:proofErr w:type="gramEnd"/>
            <w:r>
              <w:rPr>
                <w:rFonts w:ascii="Times New Roman CYR" w:hAnsi="Times New Roman CYR" w:cs="Times New Roman CYR"/>
              </w:rPr>
              <w:t>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11 520,00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одинадцять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п'ятсот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спрямування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2016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53 200 000,00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п'ятдесят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три </w:t>
            </w:r>
            <w:proofErr w:type="spellStart"/>
            <w:r>
              <w:rPr>
                <w:rFonts w:ascii="Times New Roman CYR" w:hAnsi="Times New Roman CYR" w:cs="Times New Roman CYR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двiстi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14:paraId="0A9AB08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B71D26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F42A2" w14:paraId="5BBBED8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77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86B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5E0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82E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2A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9A7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257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16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CE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69826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42A2" w14:paraId="3C447A5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0F0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6EE4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13366C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BFA225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факту  допуску</w:t>
            </w:r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603C21D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93AA4F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зареєстрований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деномiнацiєю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iснуючої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9D71D59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C8DD12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вiдбувалось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одержано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0,10 грн.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</w:rPr>
              <w:t>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до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 10000,00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35000 штук.</w:t>
            </w:r>
          </w:p>
          <w:p w14:paraId="579D754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EA8C96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F42A2" w14:paraId="0B59346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65B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54C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0EF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196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986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774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43D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C0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A6E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067F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42A2" w14:paraId="4F56CCA3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DD0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89F4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A02333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172A99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факт</w:t>
            </w:r>
            <w:proofErr w:type="gramEnd"/>
            <w:r>
              <w:rPr>
                <w:rFonts w:ascii="Times New Roman CYR" w:hAnsi="Times New Roman CYR" w:cs="Times New Roman CYR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 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фондовому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6E0773F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C4B75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5EBFE0C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97DEF6B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F42A2" w14:paraId="5F208C2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713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295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D63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r>
              <w:rPr>
                <w:rFonts w:ascii="Times New Roman CYR" w:hAnsi="Times New Roman CYR" w:cs="Times New Roman CYR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513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CFD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564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F1C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4A2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47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ACCC2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42A2" w14:paraId="3F80863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461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6308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3616F8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C018EB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2CD3DE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6CB9F1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CA2A0E6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603813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42A2" w14:paraId="239B93B8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2CD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492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A86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ком</w:t>
            </w:r>
            <w:proofErr w:type="gramEnd"/>
            <w:r>
              <w:rPr>
                <w:rFonts w:ascii="Times New Roman CYR" w:hAnsi="Times New Roman CYR" w:cs="Times New Roman CYR"/>
              </w:rPr>
              <w:t>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EF8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119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8CA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780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4F1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78E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420D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42A2" w14:paraId="72A629A9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D0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15D78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EFAFEC2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E0C3DB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6A80B7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7CBBAD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DCC1E1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AAAB9C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9F42A2" w14:paraId="69AD6A0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29D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D0E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355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DA5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4115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A2E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AE2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91B1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FB6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6AE6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9F42A2" w14:paraId="1ABF0EDD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5D4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6839A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B7816CE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90FA89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Мета  </w:t>
            </w:r>
            <w:proofErr w:type="spellStart"/>
            <w:r>
              <w:rPr>
                <w:rFonts w:ascii="Times New Roman CYR" w:hAnsi="Times New Roman CYR" w:cs="Times New Roman CYR"/>
              </w:rPr>
              <w:t>ем</w:t>
            </w:r>
            <w:proofErr w:type="gramEnd"/>
            <w:r>
              <w:rPr>
                <w:rFonts w:ascii="Times New Roman CYR" w:hAnsi="Times New Roman CYR" w:cs="Times New Roman CYR"/>
              </w:rPr>
              <w:t>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>:  дана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48C374D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D65F044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2EA9E39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68BFCC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наявність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власності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0,1 %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9F42A2" w14:paraId="01371997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521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8F0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DD3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15D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F18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BDF3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</w:tr>
      <w:tr w:rsidR="009F42A2" w14:paraId="3DD361A6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D63A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3D61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9D6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AF37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9910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CA9D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0ADAC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</w:tr>
      <w:tr w:rsidR="009F42A2" w14:paraId="2EFDBFE2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DFB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609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723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C7BB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0E4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70BF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8121E3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9F42A2" w14:paraId="21EB65E5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0058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0623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423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CEC2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CAB6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609E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93F3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42A2" w14:paraId="26046F98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C327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9B84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375" w14:textId="77777777" w:rsidR="009F42A2" w:rsidRDefault="009F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C47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B9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C37A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DD1C0" w14:textId="77777777" w:rsidR="009F42A2" w:rsidRDefault="003F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1339E094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E6956BF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9F42A2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1A31B41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7FD6432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звітність</w:t>
      </w:r>
      <w:proofErr w:type="spellEnd"/>
    </w:p>
    <w:p w14:paraId="6C2605A9" w14:textId="77777777" w:rsidR="00412045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1 квартал 2023 р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</w:t>
      </w:r>
    </w:p>
    <w:p w14:paraId="5DBF00FB" w14:textId="7A9B940A" w:rsidR="00412045" w:rsidRDefault="00412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4" w:history="1">
        <w:r w:rsidRPr="00951BA4">
          <w:rPr>
            <w:rStyle w:val="a3"/>
            <w:rFonts w:ascii="Times New Roman CYR" w:hAnsi="Times New Roman CYR" w:cs="Times New Roman CYR"/>
            <w:sz w:val="24"/>
            <w:szCs w:val="24"/>
          </w:rPr>
          <w:t>https://bank34.ua/pro-bank/finansova-zvitnist/?file=172</w:t>
        </w:r>
      </w:hyperlink>
      <w:r w:rsidR="003F07B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4A4CFC6" w14:textId="77777777" w:rsidR="00412045" w:rsidRPr="00412045" w:rsidRDefault="00412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2182187" w14:textId="77777777" w:rsidR="00412045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1 квартал 2023 р,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xbrl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</w:p>
    <w:p w14:paraId="59DBDC01" w14:textId="17A27828" w:rsidR="009F42A2" w:rsidRDefault="00412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hyperlink r:id="rId5" w:history="1">
        <w:r w:rsidRPr="00951BA4">
          <w:rPr>
            <w:rStyle w:val="a3"/>
            <w:rFonts w:ascii="Times New Roman CYR" w:hAnsi="Times New Roman CYR" w:cs="Times New Roman CYR"/>
            <w:sz w:val="24"/>
            <w:szCs w:val="24"/>
          </w:rPr>
          <w:t>https://portal.frs.gov.ua/PublicData/PublicDataSubmissionPack.aspx?submission_pack_version_id=118427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3F07B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6293F74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182C56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інформації</w:t>
      </w:r>
      <w:proofErr w:type="spellEnd"/>
    </w:p>
    <w:p w14:paraId="70DC9D84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 особа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 АТ "БАНК 3/4" Пєшкова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Головою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стверджуємо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четвертої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</w:t>
      </w:r>
    </w:p>
    <w:p w14:paraId="5A93D6A0" w14:textId="01C3A956" w:rsidR="00412045" w:rsidRDefault="00412045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4A4409E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9D93C2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5C3A7F4C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керівництва</w:t>
      </w:r>
      <w:proofErr w:type="spellEnd"/>
    </w:p>
    <w:p w14:paraId="4B32705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особи</w:t>
      </w:r>
    </w:p>
    <w:p w14:paraId="690C520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панове!</w:t>
      </w:r>
    </w:p>
    <w:p w14:paraId="477E60D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Перший квартал 2023 року став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злагодженiй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команди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 3/4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повернувся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55ABD0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AD1BA3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зосередилися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Висловлюю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щиру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вдячнiсть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кожному з вас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партнерство.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0A0439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50C78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14:paraId="1732099E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Олександр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</w:p>
    <w:p w14:paraId="75A7B84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FF8ADA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2C7ECF59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17E55071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4BC0FD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розпочали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посиленою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блекаута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ракетно-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дронових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атак.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Завдяки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команди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зберегли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E038C5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зосередився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-менеджменту.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нашим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зручнiсть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обставинах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97BE2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Дякую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партнеру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Разом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зможемо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65D0EE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403261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5E4A2D48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Вадим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</w:p>
    <w:p w14:paraId="2D2481FA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9B23D7" w14:textId="77777777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Вказівки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16BAEF03" w14:textId="2F3BDB14" w:rsidR="009F42A2" w:rsidRDefault="003F0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починаючи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24.02.2022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залишаючись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Згадана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C6FFBF7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F21FD36" w14:textId="77777777" w:rsidR="009F42A2" w:rsidRDefault="009F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9F42A2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B1"/>
    <w:rsid w:val="00042763"/>
    <w:rsid w:val="003F07B1"/>
    <w:rsid w:val="00412045"/>
    <w:rsid w:val="009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2D93F"/>
  <w14:defaultImageDpi w14:val="0"/>
  <w15:docId w15:val="{5B803E78-90A7-429E-996F-B22822C1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0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frs.gov.ua/PublicData/PublicDataSubmissionPack.aspx?submission_pack_version_id=118427" TargetMode="External"/><Relationship Id="rId4" Type="http://schemas.openxmlformats.org/officeDocument/2006/relationships/hyperlink" Target="https://bank34.ua/pro-bank/finansova-zvitnist/?file=17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9634</Words>
  <Characters>65507</Characters>
  <Application>Microsoft Office Word</Application>
  <DocSecurity>0</DocSecurity>
  <Lines>545</Lines>
  <Paragraphs>149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2025-09-25T14:32:00Z</dcterms:created>
  <dcterms:modified xsi:type="dcterms:W3CDTF">2025-09-25T14:32:00Z</dcterms:modified>
</cp:coreProperties>
</file>